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8973BA" w14:textId="77777777" w:rsidR="00E43062" w:rsidRDefault="000F3B3E">
      <w:pPr>
        <w:spacing w:before="240"/>
        <w:jc w:val="both"/>
        <w:rPr>
          <w:rFonts w:ascii="Montserrat" w:eastAsia="Montserrat" w:hAnsi="Montserrat" w:cs="Montserrat"/>
          <w:b/>
          <w:sz w:val="23"/>
          <w:szCs w:val="23"/>
        </w:rPr>
      </w:pPr>
      <w:r>
        <w:rPr>
          <w:rFonts w:ascii="Montserrat" w:eastAsia="Montserrat" w:hAnsi="Montserrat" w:cs="Montserrat"/>
          <w:b/>
          <w:sz w:val="23"/>
          <w:szCs w:val="23"/>
        </w:rPr>
        <w:t>Children and Youth in South Africa</w:t>
      </w:r>
    </w:p>
    <w:tbl>
      <w:tblPr>
        <w:tblStyle w:val="a"/>
        <w:tblW w:w="153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99"/>
        <w:gridCol w:w="7699"/>
      </w:tblGrid>
      <w:tr w:rsidR="00E43062" w14:paraId="600BB4B2" w14:textId="77777777">
        <w:trPr>
          <w:trHeight w:val="2741"/>
        </w:trPr>
        <w:tc>
          <w:tcPr>
            <w:tcW w:w="7699" w:type="dxa"/>
            <w:tcBorders>
              <w:top w:val="single" w:sz="8" w:space="0" w:color="FFFFFF"/>
              <w:left w:val="single" w:sz="8" w:space="0" w:color="FFFFFF"/>
              <w:bottom w:val="single" w:sz="8" w:space="0" w:color="999999"/>
              <w:right w:val="single" w:sz="8" w:space="0" w:color="FFFFFF"/>
            </w:tcBorders>
            <w:tcMar>
              <w:top w:w="100" w:type="dxa"/>
              <w:left w:w="100" w:type="dxa"/>
              <w:bottom w:w="100" w:type="dxa"/>
              <w:right w:w="100" w:type="dxa"/>
            </w:tcMar>
          </w:tcPr>
          <w:p w14:paraId="25296FB4" w14:textId="340CD6A4" w:rsidR="00E43062" w:rsidRDefault="000F3B3E">
            <w:pPr>
              <w:spacing w:before="240" w:after="240"/>
              <w:jc w:val="both"/>
              <w:rPr>
                <w:rFonts w:ascii="Montserrat" w:eastAsia="Montserrat" w:hAnsi="Montserrat" w:cs="Montserrat"/>
                <w:sz w:val="19"/>
                <w:szCs w:val="19"/>
              </w:rPr>
            </w:pPr>
            <w:r>
              <w:rPr>
                <w:rFonts w:ascii="Montserrat" w:eastAsia="Montserrat" w:hAnsi="Montserrat" w:cs="Montserrat"/>
                <w:sz w:val="19"/>
                <w:szCs w:val="19"/>
              </w:rPr>
              <w:t>Children in South Africa face many challenges</w:t>
            </w:r>
            <w:r w:rsidR="008C3BC9">
              <w:rPr>
                <w:rFonts w:ascii="Montserrat" w:eastAsia="Montserrat" w:hAnsi="Montserrat" w:cs="Montserrat"/>
                <w:sz w:val="19"/>
                <w:szCs w:val="19"/>
              </w:rPr>
              <w:t>,</w:t>
            </w:r>
            <w:r>
              <w:rPr>
                <w:rFonts w:ascii="Montserrat" w:eastAsia="Montserrat" w:hAnsi="Montserrat" w:cs="Montserrat"/>
                <w:sz w:val="19"/>
                <w:szCs w:val="19"/>
              </w:rPr>
              <w:t xml:space="preserve"> from malnutrition and unequal access to early learning to widely varying schooling experiences that still strongly align with income. With nearly universal primary school enrollment, schools absorb children who already have substantial gaps in their development and school readiness</w:t>
            </w:r>
            <w:r w:rsidR="008C3BC9">
              <w:rPr>
                <w:rFonts w:ascii="Montserrat" w:eastAsia="Montserrat" w:hAnsi="Montserrat" w:cs="Montserrat"/>
                <w:sz w:val="19"/>
                <w:szCs w:val="19"/>
              </w:rPr>
              <w:t>. While improving over time, they still face significant</w:t>
            </w:r>
            <w:r>
              <w:rPr>
                <w:rFonts w:ascii="Montserrat" w:eastAsia="Montserrat" w:hAnsi="Montserrat" w:cs="Montserrat"/>
                <w:sz w:val="19"/>
                <w:szCs w:val="19"/>
              </w:rPr>
              <w:t xml:space="preserve"> quality challenges and low learning outcomes.  </w:t>
            </w:r>
          </w:p>
          <w:p w14:paraId="41AF0AA8" w14:textId="77777777" w:rsidR="00E43062" w:rsidRDefault="000F3B3E">
            <w:pPr>
              <w:widowControl w:val="0"/>
              <w:spacing w:line="240" w:lineRule="auto"/>
              <w:jc w:val="center"/>
              <w:rPr>
                <w:rFonts w:ascii="Montserrat" w:eastAsia="Montserrat" w:hAnsi="Montserrat" w:cs="Montserrat"/>
                <w:sz w:val="19"/>
                <w:szCs w:val="19"/>
              </w:rPr>
            </w:pPr>
            <w:r>
              <w:rPr>
                <w:rFonts w:ascii="Montserrat" w:eastAsia="Montserrat" w:hAnsi="Montserrat" w:cs="Montserrat"/>
                <w:b/>
                <w:sz w:val="21"/>
                <w:szCs w:val="21"/>
              </w:rPr>
              <w:t>17.3 million children aged 0-14 in South Africa</w:t>
            </w:r>
          </w:p>
        </w:tc>
        <w:tc>
          <w:tcPr>
            <w:tcW w:w="7699" w:type="dxa"/>
            <w:tcBorders>
              <w:top w:val="single" w:sz="8" w:space="0" w:color="FFFFFF"/>
              <w:left w:val="single" w:sz="8" w:space="0" w:color="FFFFFF"/>
              <w:bottom w:val="single" w:sz="8" w:space="0" w:color="999999"/>
              <w:right w:val="single" w:sz="8" w:space="0" w:color="FFFFFF"/>
            </w:tcBorders>
            <w:tcMar>
              <w:top w:w="100" w:type="dxa"/>
              <w:left w:w="100" w:type="dxa"/>
              <w:bottom w:w="100" w:type="dxa"/>
              <w:right w:w="100" w:type="dxa"/>
            </w:tcMar>
          </w:tcPr>
          <w:p w14:paraId="7338A6B2"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23"/>
                <w:szCs w:val="23"/>
              </w:rPr>
            </w:pPr>
            <w:r>
              <w:rPr>
                <w:rFonts w:ascii="Montserrat" w:eastAsia="Montserrat" w:hAnsi="Montserrat" w:cs="Montserrat"/>
                <w:b/>
                <w:sz w:val="23"/>
                <w:szCs w:val="23"/>
              </w:rPr>
              <w:t>Early Childhood</w:t>
            </w:r>
          </w:p>
          <w:tbl>
            <w:tblPr>
              <w:tblStyle w:val="a0"/>
              <w:tblW w:w="749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4"/>
              <w:gridCol w:w="1875"/>
              <w:gridCol w:w="1875"/>
              <w:gridCol w:w="1875"/>
            </w:tblGrid>
            <w:tr w:rsidR="00E43062" w14:paraId="37D284D6" w14:textId="77777777">
              <w:trPr>
                <w:trHeight w:val="1985"/>
              </w:trPr>
              <w:tc>
                <w:tcPr>
                  <w:tcW w:w="1874" w:type="dxa"/>
                  <w:tcMar>
                    <w:top w:w="100" w:type="dxa"/>
                    <w:left w:w="100" w:type="dxa"/>
                    <w:bottom w:w="100" w:type="dxa"/>
                    <w:right w:w="100" w:type="dxa"/>
                  </w:tcMar>
                </w:tcPr>
                <w:p w14:paraId="5F5FE86F" w14:textId="77777777" w:rsidR="00E43062" w:rsidRDefault="000F3B3E">
                  <w:pPr>
                    <w:widowControl w:val="0"/>
                    <w:pBdr>
                      <w:top w:val="nil"/>
                      <w:left w:val="nil"/>
                      <w:bottom w:val="nil"/>
                      <w:right w:val="nil"/>
                      <w:between w:val="nil"/>
                    </w:pBdr>
                    <w:spacing w:line="240" w:lineRule="auto"/>
                    <w:jc w:val="center"/>
                    <w:rPr>
                      <w:rFonts w:ascii="Montserrat" w:eastAsia="Montserrat" w:hAnsi="Montserrat" w:cs="Montserrat"/>
                      <w:b/>
                      <w:sz w:val="18"/>
                      <w:szCs w:val="18"/>
                    </w:rPr>
                  </w:pPr>
                  <w:r>
                    <w:rPr>
                      <w:rFonts w:ascii="Montserrat" w:eastAsia="Montserrat" w:hAnsi="Montserrat" w:cs="Montserrat"/>
                      <w:b/>
                      <w:sz w:val="18"/>
                      <w:szCs w:val="18"/>
                    </w:rPr>
                    <w:t>Infant and under-5 Mortality from 2002 - 2025</w:t>
                  </w:r>
                </w:p>
                <w:p w14:paraId="7D64C835" w14:textId="77777777" w:rsidR="00E43062" w:rsidRDefault="000F3B3E">
                  <w:pPr>
                    <w:widowControl w:val="0"/>
                    <w:pBdr>
                      <w:top w:val="nil"/>
                      <w:left w:val="nil"/>
                      <w:bottom w:val="nil"/>
                      <w:right w:val="nil"/>
                      <w:between w:val="nil"/>
                    </w:pBdr>
                    <w:spacing w:line="240" w:lineRule="auto"/>
                    <w:jc w:val="center"/>
                    <w:rPr>
                      <w:rFonts w:ascii="Montserrat" w:eastAsia="Montserrat" w:hAnsi="Montserrat" w:cs="Montserrat"/>
                      <w:sz w:val="21"/>
                      <w:szCs w:val="21"/>
                    </w:rPr>
                  </w:pPr>
                  <w:r>
                    <w:rPr>
                      <w:rFonts w:ascii="Montserrat" w:eastAsia="Montserrat" w:hAnsi="Montserrat" w:cs="Montserrat"/>
                      <w:noProof/>
                      <w:sz w:val="21"/>
                      <w:szCs w:val="21"/>
                    </w:rPr>
                    <w:drawing>
                      <wp:inline distT="114300" distB="114300" distL="114300" distR="114300" wp14:anchorId="35F40401" wp14:editId="6D4A7300">
                        <wp:extent cx="652463" cy="6524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652463" cy="652463"/>
                                </a:xfrm>
                                <a:prstGeom prst="rect">
                                  <a:avLst/>
                                </a:prstGeom>
                                <a:ln/>
                              </pic:spPr>
                            </pic:pic>
                          </a:graphicData>
                        </a:graphic>
                      </wp:inline>
                    </w:drawing>
                  </w:r>
                </w:p>
              </w:tc>
              <w:tc>
                <w:tcPr>
                  <w:tcW w:w="1874" w:type="dxa"/>
                  <w:tcMar>
                    <w:top w:w="100" w:type="dxa"/>
                    <w:left w:w="100" w:type="dxa"/>
                    <w:bottom w:w="100" w:type="dxa"/>
                    <w:right w:w="100" w:type="dxa"/>
                  </w:tcMar>
                </w:tcPr>
                <w:p w14:paraId="1E6189F3" w14:textId="77777777" w:rsidR="00E43062" w:rsidRDefault="000F3B3E">
                  <w:pPr>
                    <w:widowControl w:val="0"/>
                    <w:pBdr>
                      <w:top w:val="nil"/>
                      <w:left w:val="nil"/>
                      <w:bottom w:val="nil"/>
                      <w:right w:val="nil"/>
                      <w:between w:val="nil"/>
                    </w:pBdr>
                    <w:spacing w:before="200" w:line="240" w:lineRule="auto"/>
                    <w:jc w:val="center"/>
                    <w:rPr>
                      <w:rFonts w:ascii="Montserrat" w:eastAsia="Montserrat" w:hAnsi="Montserrat" w:cs="Montserrat"/>
                      <w:b/>
                      <w:sz w:val="43"/>
                      <w:szCs w:val="43"/>
                    </w:rPr>
                  </w:pPr>
                  <w:r>
                    <w:rPr>
                      <w:rFonts w:ascii="Montserrat" w:eastAsia="Montserrat" w:hAnsi="Montserrat" w:cs="Montserrat"/>
                      <w:b/>
                      <w:sz w:val="43"/>
                      <w:szCs w:val="43"/>
                    </w:rPr>
                    <w:t xml:space="preserve">⅔ </w:t>
                  </w:r>
                </w:p>
                <w:p w14:paraId="1EF5E9F3" w14:textId="77777777" w:rsidR="00E43062" w:rsidRDefault="000F3B3E">
                  <w:pPr>
                    <w:widowControl w:val="0"/>
                    <w:pBdr>
                      <w:top w:val="nil"/>
                      <w:left w:val="nil"/>
                      <w:bottom w:val="nil"/>
                      <w:right w:val="nil"/>
                      <w:between w:val="nil"/>
                    </w:pBdr>
                    <w:spacing w:line="240" w:lineRule="auto"/>
                    <w:jc w:val="center"/>
                    <w:rPr>
                      <w:rFonts w:ascii="Montserrat" w:eastAsia="Montserrat" w:hAnsi="Montserrat" w:cs="Montserrat"/>
                      <w:b/>
                      <w:sz w:val="17"/>
                      <w:szCs w:val="17"/>
                    </w:rPr>
                  </w:pPr>
                  <w:r>
                    <w:rPr>
                      <w:rFonts w:ascii="Montserrat" w:eastAsia="Montserrat" w:hAnsi="Montserrat" w:cs="Montserrat"/>
                      <w:b/>
                      <w:sz w:val="17"/>
                      <w:szCs w:val="17"/>
                    </w:rPr>
                    <w:t xml:space="preserve">of Children live in homes that cannot provide for their basic needs of food, shelter and clothing </w:t>
                  </w:r>
                </w:p>
              </w:tc>
              <w:tc>
                <w:tcPr>
                  <w:tcW w:w="1874" w:type="dxa"/>
                  <w:tcMar>
                    <w:top w:w="100" w:type="dxa"/>
                    <w:left w:w="100" w:type="dxa"/>
                    <w:bottom w:w="100" w:type="dxa"/>
                    <w:right w:w="100" w:type="dxa"/>
                  </w:tcMar>
                </w:tcPr>
                <w:p w14:paraId="5B1CCB5E"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18"/>
                      <w:szCs w:val="18"/>
                    </w:rPr>
                  </w:pPr>
                  <w:r>
                    <w:rPr>
                      <w:rFonts w:ascii="Montserrat" w:eastAsia="Montserrat" w:hAnsi="Montserrat" w:cs="Montserrat"/>
                      <w:b/>
                      <w:sz w:val="30"/>
                      <w:szCs w:val="30"/>
                    </w:rPr>
                    <w:t>58%</w:t>
                  </w:r>
                  <w:r>
                    <w:rPr>
                      <w:rFonts w:ascii="Montserrat" w:eastAsia="Montserrat" w:hAnsi="Montserrat" w:cs="Montserrat"/>
                      <w:b/>
                      <w:sz w:val="18"/>
                      <w:szCs w:val="18"/>
                    </w:rPr>
                    <w:t xml:space="preserve"> of children enrolled in early learning programmes are not on track with school readiness</w:t>
                  </w:r>
                </w:p>
              </w:tc>
              <w:tc>
                <w:tcPr>
                  <w:tcW w:w="1874" w:type="dxa"/>
                  <w:tcMar>
                    <w:top w:w="100" w:type="dxa"/>
                    <w:left w:w="100" w:type="dxa"/>
                    <w:bottom w:w="100" w:type="dxa"/>
                    <w:right w:w="100" w:type="dxa"/>
                  </w:tcMar>
                </w:tcPr>
                <w:p w14:paraId="7AB2C8E9"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18"/>
                      <w:szCs w:val="18"/>
                    </w:rPr>
                  </w:pPr>
                  <w:r>
                    <w:rPr>
                      <w:rFonts w:ascii="Montserrat" w:eastAsia="Montserrat" w:hAnsi="Montserrat" w:cs="Montserrat"/>
                      <w:b/>
                      <w:sz w:val="18"/>
                      <w:szCs w:val="18"/>
                    </w:rPr>
                    <w:t>Nearly 1 in 5 children live with neither biological parent</w:t>
                  </w:r>
                </w:p>
              </w:tc>
            </w:tr>
          </w:tbl>
          <w:p w14:paraId="223ED8B1" w14:textId="77777777" w:rsidR="00E43062" w:rsidRDefault="00E43062">
            <w:pPr>
              <w:widowControl w:val="0"/>
              <w:pBdr>
                <w:top w:val="nil"/>
                <w:left w:val="nil"/>
                <w:bottom w:val="nil"/>
                <w:right w:val="nil"/>
                <w:between w:val="nil"/>
              </w:pBdr>
              <w:spacing w:line="240" w:lineRule="auto"/>
              <w:rPr>
                <w:rFonts w:ascii="Montserrat" w:eastAsia="Montserrat" w:hAnsi="Montserrat" w:cs="Montserrat"/>
                <w:b/>
                <w:sz w:val="23"/>
                <w:szCs w:val="23"/>
              </w:rPr>
            </w:pPr>
          </w:p>
        </w:tc>
      </w:tr>
      <w:tr w:rsidR="00E43062" w14:paraId="56E7CDC8" w14:textId="77777777">
        <w:tc>
          <w:tcPr>
            <w:tcW w:w="7699" w:type="dxa"/>
            <w:tcBorders>
              <w:top w:val="single" w:sz="8" w:space="0" w:color="999999"/>
              <w:left w:val="single" w:sz="8" w:space="0" w:color="FFFFFF"/>
              <w:bottom w:val="single" w:sz="8" w:space="0" w:color="999999"/>
              <w:right w:val="single" w:sz="8" w:space="0" w:color="FFFFFF"/>
            </w:tcBorders>
            <w:tcMar>
              <w:top w:w="100" w:type="dxa"/>
              <w:left w:w="100" w:type="dxa"/>
              <w:bottom w:w="100" w:type="dxa"/>
              <w:right w:w="100" w:type="dxa"/>
            </w:tcMar>
          </w:tcPr>
          <w:p w14:paraId="3C200BEC"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23"/>
                <w:szCs w:val="23"/>
              </w:rPr>
            </w:pPr>
            <w:r>
              <w:rPr>
                <w:rFonts w:ascii="Montserrat" w:eastAsia="Montserrat" w:hAnsi="Montserrat" w:cs="Montserrat"/>
                <w:b/>
                <w:sz w:val="23"/>
                <w:szCs w:val="23"/>
              </w:rPr>
              <w:t>School-aged Children</w:t>
            </w:r>
          </w:p>
          <w:tbl>
            <w:tblPr>
              <w:tblStyle w:val="a1"/>
              <w:tblW w:w="7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2130"/>
              <w:gridCol w:w="1770"/>
              <w:gridCol w:w="1770"/>
            </w:tblGrid>
            <w:tr w:rsidR="00E43062" w14:paraId="50BB7CB1" w14:textId="77777777">
              <w:tc>
                <w:tcPr>
                  <w:tcW w:w="1410" w:type="dxa"/>
                  <w:tcMar>
                    <w:top w:w="100" w:type="dxa"/>
                    <w:left w:w="100" w:type="dxa"/>
                    <w:bottom w:w="100" w:type="dxa"/>
                    <w:right w:w="100" w:type="dxa"/>
                  </w:tcMar>
                </w:tcPr>
                <w:p w14:paraId="34762EDB"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18"/>
                      <w:szCs w:val="18"/>
                    </w:rPr>
                  </w:pPr>
                  <w:r>
                    <w:rPr>
                      <w:rFonts w:ascii="Montserrat" w:eastAsia="Montserrat" w:hAnsi="Montserrat" w:cs="Montserrat"/>
                      <w:b/>
                      <w:sz w:val="18"/>
                      <w:szCs w:val="18"/>
                    </w:rPr>
                    <w:t>Near universal primary school enrollment</w:t>
                  </w:r>
                </w:p>
              </w:tc>
              <w:tc>
                <w:tcPr>
                  <w:tcW w:w="2130" w:type="dxa"/>
                  <w:tcMar>
                    <w:top w:w="100" w:type="dxa"/>
                    <w:left w:w="100" w:type="dxa"/>
                    <w:bottom w:w="100" w:type="dxa"/>
                    <w:right w:w="100" w:type="dxa"/>
                  </w:tcMar>
                </w:tcPr>
                <w:p w14:paraId="34F06465"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18"/>
                      <w:szCs w:val="18"/>
                    </w:rPr>
                  </w:pPr>
                  <w:r>
                    <w:rPr>
                      <w:rFonts w:ascii="Montserrat" w:eastAsia="Montserrat" w:hAnsi="Montserrat" w:cs="Montserrat"/>
                      <w:b/>
                      <w:sz w:val="18"/>
                      <w:szCs w:val="18"/>
                    </w:rPr>
                    <w:t xml:space="preserve">81% of Grade 4 children cannot read for meaning </w:t>
                  </w:r>
                </w:p>
                <w:p w14:paraId="0548528F" w14:textId="77777777" w:rsidR="00E43062" w:rsidRDefault="00E43062">
                  <w:pPr>
                    <w:widowControl w:val="0"/>
                    <w:pBdr>
                      <w:top w:val="nil"/>
                      <w:left w:val="nil"/>
                      <w:bottom w:val="nil"/>
                      <w:right w:val="nil"/>
                      <w:between w:val="nil"/>
                    </w:pBdr>
                    <w:spacing w:line="240" w:lineRule="auto"/>
                    <w:rPr>
                      <w:rFonts w:ascii="Montserrat" w:eastAsia="Montserrat" w:hAnsi="Montserrat" w:cs="Montserrat"/>
                      <w:b/>
                      <w:sz w:val="18"/>
                      <w:szCs w:val="18"/>
                    </w:rPr>
                  </w:pPr>
                </w:p>
                <w:p w14:paraId="4293DF96"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18"/>
                      <w:szCs w:val="18"/>
                    </w:rPr>
                  </w:pPr>
                  <w:r>
                    <w:rPr>
                      <w:rFonts w:ascii="Montserrat" w:eastAsia="Montserrat" w:hAnsi="Montserrat" w:cs="Montserrat"/>
                      <w:b/>
                      <w:sz w:val="18"/>
                      <w:szCs w:val="18"/>
                    </w:rPr>
                    <w:t>63% of Grade 5 children lack basic numeracy skills</w:t>
                  </w:r>
                </w:p>
              </w:tc>
              <w:tc>
                <w:tcPr>
                  <w:tcW w:w="1770" w:type="dxa"/>
                  <w:tcMar>
                    <w:top w:w="100" w:type="dxa"/>
                    <w:left w:w="100" w:type="dxa"/>
                    <w:bottom w:w="100" w:type="dxa"/>
                    <w:right w:w="100" w:type="dxa"/>
                  </w:tcMar>
                </w:tcPr>
                <w:p w14:paraId="3DF55AB4"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18"/>
                      <w:szCs w:val="18"/>
                    </w:rPr>
                  </w:pPr>
                  <w:r>
                    <w:rPr>
                      <w:rFonts w:ascii="Montserrat" w:eastAsia="Montserrat" w:hAnsi="Montserrat" w:cs="Montserrat"/>
                      <w:b/>
                      <w:sz w:val="18"/>
                      <w:szCs w:val="18"/>
                    </w:rPr>
                    <w:t xml:space="preserve">Over </w:t>
                  </w:r>
                  <w:r>
                    <w:rPr>
                      <w:rFonts w:ascii="Montserrat" w:eastAsia="Montserrat" w:hAnsi="Montserrat" w:cs="Montserrat"/>
                      <w:b/>
                      <w:sz w:val="24"/>
                      <w:szCs w:val="24"/>
                    </w:rPr>
                    <w:t xml:space="preserve">¾ </w:t>
                  </w:r>
                  <w:r>
                    <w:rPr>
                      <w:rFonts w:ascii="Montserrat" w:eastAsia="Montserrat" w:hAnsi="Montserrat" w:cs="Montserrat"/>
                      <w:b/>
                      <w:sz w:val="18"/>
                      <w:szCs w:val="18"/>
                    </w:rPr>
                    <w:t>of school children benefit from school feeding schemes</w:t>
                  </w:r>
                </w:p>
              </w:tc>
              <w:tc>
                <w:tcPr>
                  <w:tcW w:w="1770" w:type="dxa"/>
                  <w:tcMar>
                    <w:top w:w="100" w:type="dxa"/>
                    <w:left w:w="100" w:type="dxa"/>
                    <w:bottom w:w="100" w:type="dxa"/>
                    <w:right w:w="100" w:type="dxa"/>
                  </w:tcMar>
                </w:tcPr>
                <w:p w14:paraId="08A583BC" w14:textId="77777777" w:rsidR="00E43062" w:rsidRDefault="000F3B3E">
                  <w:pPr>
                    <w:widowControl w:val="0"/>
                    <w:spacing w:line="240" w:lineRule="auto"/>
                    <w:rPr>
                      <w:rFonts w:ascii="Montserrat" w:eastAsia="Montserrat" w:hAnsi="Montserrat" w:cs="Montserrat"/>
                      <w:b/>
                      <w:sz w:val="18"/>
                      <w:szCs w:val="18"/>
                    </w:rPr>
                  </w:pPr>
                  <w:r>
                    <w:rPr>
                      <w:rFonts w:ascii="Montserrat" w:eastAsia="Montserrat" w:hAnsi="Montserrat" w:cs="Montserrat"/>
                      <w:b/>
                      <w:sz w:val="18"/>
                      <w:szCs w:val="18"/>
                    </w:rPr>
                    <w:t>31% of Grade 11 Learners Drop Out before matric</w:t>
                  </w:r>
                </w:p>
              </w:tc>
            </w:tr>
          </w:tbl>
          <w:p w14:paraId="43AB7163" w14:textId="77777777" w:rsidR="00E43062" w:rsidRDefault="00E43062">
            <w:pPr>
              <w:widowControl w:val="0"/>
              <w:pBdr>
                <w:top w:val="nil"/>
                <w:left w:val="nil"/>
                <w:bottom w:val="nil"/>
                <w:right w:val="nil"/>
                <w:between w:val="nil"/>
              </w:pBdr>
              <w:spacing w:line="240" w:lineRule="auto"/>
              <w:rPr>
                <w:rFonts w:ascii="Montserrat" w:eastAsia="Montserrat" w:hAnsi="Montserrat" w:cs="Montserrat"/>
                <w:b/>
                <w:sz w:val="23"/>
                <w:szCs w:val="23"/>
              </w:rPr>
            </w:pPr>
          </w:p>
          <w:p w14:paraId="2329A9B3" w14:textId="77777777" w:rsidR="00E43062" w:rsidRDefault="00E43062">
            <w:pPr>
              <w:widowControl w:val="0"/>
              <w:pBdr>
                <w:top w:val="nil"/>
                <w:left w:val="nil"/>
                <w:bottom w:val="nil"/>
                <w:right w:val="nil"/>
                <w:between w:val="nil"/>
              </w:pBdr>
              <w:spacing w:line="240" w:lineRule="auto"/>
              <w:rPr>
                <w:rFonts w:ascii="Montserrat" w:eastAsia="Montserrat" w:hAnsi="Montserrat" w:cs="Montserrat"/>
                <w:b/>
                <w:sz w:val="21"/>
                <w:szCs w:val="21"/>
              </w:rPr>
            </w:pPr>
          </w:p>
          <w:p w14:paraId="105FFD7D"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21"/>
                <w:szCs w:val="21"/>
              </w:rPr>
            </w:pPr>
            <w:r>
              <w:rPr>
                <w:rFonts w:ascii="Montserrat" w:eastAsia="Montserrat" w:hAnsi="Montserrat" w:cs="Montserrat"/>
                <w:b/>
                <w:sz w:val="21"/>
                <w:szCs w:val="21"/>
              </w:rPr>
              <w:t xml:space="preserve">Pro-girl gap in early learning and basic </w:t>
            </w:r>
            <w:proofErr w:type="gramStart"/>
            <w:r>
              <w:rPr>
                <w:rFonts w:ascii="Montserrat" w:eastAsia="Montserrat" w:hAnsi="Montserrat" w:cs="Montserrat"/>
                <w:b/>
                <w:sz w:val="21"/>
                <w:szCs w:val="21"/>
              </w:rPr>
              <w:t>education, but</w:t>
            </w:r>
            <w:proofErr w:type="gramEnd"/>
            <w:r>
              <w:rPr>
                <w:rFonts w:ascii="Montserrat" w:eastAsia="Montserrat" w:hAnsi="Montserrat" w:cs="Montserrat"/>
                <w:b/>
                <w:sz w:val="21"/>
                <w:szCs w:val="21"/>
              </w:rPr>
              <w:t xml:space="preserve"> shifts in NEET where more young women are NEET than males. </w:t>
            </w:r>
          </w:p>
        </w:tc>
        <w:tc>
          <w:tcPr>
            <w:tcW w:w="7699" w:type="dxa"/>
            <w:tcBorders>
              <w:top w:val="single" w:sz="8" w:space="0" w:color="999999"/>
              <w:left w:val="single" w:sz="8" w:space="0" w:color="FFFFFF"/>
              <w:bottom w:val="single" w:sz="8" w:space="0" w:color="999999"/>
              <w:right w:val="single" w:sz="8" w:space="0" w:color="FFFFFF"/>
            </w:tcBorders>
            <w:tcMar>
              <w:top w:w="100" w:type="dxa"/>
              <w:left w:w="100" w:type="dxa"/>
              <w:bottom w:w="100" w:type="dxa"/>
              <w:right w:w="100" w:type="dxa"/>
            </w:tcMar>
          </w:tcPr>
          <w:p w14:paraId="4D8C667F" w14:textId="25C590F0" w:rsidR="00E43062" w:rsidRDefault="000F3B3E">
            <w:pPr>
              <w:spacing w:before="240" w:after="240"/>
              <w:jc w:val="both"/>
              <w:rPr>
                <w:rFonts w:ascii="Montserrat" w:eastAsia="Montserrat" w:hAnsi="Montserrat" w:cs="Montserrat"/>
                <w:sz w:val="19"/>
                <w:szCs w:val="19"/>
              </w:rPr>
            </w:pPr>
            <w:r>
              <w:rPr>
                <w:rFonts w:ascii="Montserrat" w:eastAsia="Montserrat" w:hAnsi="Montserrat" w:cs="Montserrat"/>
                <w:sz w:val="19"/>
                <w:szCs w:val="19"/>
              </w:rPr>
              <w:t>South Africa’s education crisis is well-documented</w:t>
            </w:r>
            <w:r w:rsidR="008C3BC9">
              <w:rPr>
                <w:rFonts w:ascii="Montserrat" w:eastAsia="Montserrat" w:hAnsi="Montserrat" w:cs="Montserrat"/>
                <w:sz w:val="19"/>
                <w:szCs w:val="19"/>
              </w:rPr>
              <w:t>,</w:t>
            </w:r>
            <w:r>
              <w:rPr>
                <w:rFonts w:ascii="Montserrat" w:eastAsia="Montserrat" w:hAnsi="Montserrat" w:cs="Montserrat"/>
                <w:sz w:val="19"/>
                <w:szCs w:val="19"/>
              </w:rPr>
              <w:t xml:space="preserve"> with PIRLS 2021 and TIMSS 2023 showing </w:t>
            </w:r>
            <w:r w:rsidR="008C3BC9">
              <w:rPr>
                <w:rFonts w:ascii="Montserrat" w:eastAsia="Montserrat" w:hAnsi="Montserrat" w:cs="Montserrat"/>
                <w:sz w:val="19"/>
                <w:szCs w:val="19"/>
              </w:rPr>
              <w:t xml:space="preserve">that South African children underperform in basic literacy and numeracy compared to their </w:t>
            </w:r>
            <w:r>
              <w:rPr>
                <w:rFonts w:ascii="Montserrat" w:eastAsia="Montserrat" w:hAnsi="Montserrat" w:cs="Montserrat"/>
                <w:sz w:val="19"/>
                <w:szCs w:val="19"/>
              </w:rPr>
              <w:t>peers in similarly resourced contexts. These studies show that 81% of Grade 4 children are unable to read for meaning</w:t>
            </w:r>
            <w:r w:rsidR="008C3BC9">
              <w:rPr>
                <w:rFonts w:ascii="Montserrat" w:eastAsia="Montserrat" w:hAnsi="Montserrat" w:cs="Montserrat"/>
                <w:sz w:val="19"/>
                <w:szCs w:val="19"/>
              </w:rPr>
              <w:t>, and 63% of Grade</w:t>
            </w:r>
            <w:r>
              <w:rPr>
                <w:rFonts w:ascii="Montserrat" w:eastAsia="Montserrat" w:hAnsi="Montserrat" w:cs="Montserrat"/>
                <w:sz w:val="19"/>
                <w:szCs w:val="19"/>
              </w:rPr>
              <w:t xml:space="preserve"> 5 children lack basic numeracy skills.  Rates of grade repetition are high</w:t>
            </w:r>
            <w:r w:rsidR="008C3BC9">
              <w:rPr>
                <w:rFonts w:ascii="Montserrat" w:eastAsia="Montserrat" w:hAnsi="Montserrat" w:cs="Montserrat"/>
                <w:sz w:val="19"/>
                <w:szCs w:val="19"/>
              </w:rPr>
              <w:t xml:space="preserve">, and Grade 11 still serves as a </w:t>
            </w:r>
            <w:proofErr w:type="gramStart"/>
            <w:r w:rsidR="008C3BC9">
              <w:rPr>
                <w:rFonts w:ascii="Montserrat" w:eastAsia="Montserrat" w:hAnsi="Montserrat" w:cs="Montserrat"/>
                <w:sz w:val="19"/>
                <w:szCs w:val="19"/>
              </w:rPr>
              <w:t>gate-keeper</w:t>
            </w:r>
            <w:proofErr w:type="gramEnd"/>
            <w:r w:rsidR="008C3BC9">
              <w:rPr>
                <w:rFonts w:ascii="Montserrat" w:eastAsia="Montserrat" w:hAnsi="Montserrat" w:cs="Montserrat"/>
                <w:sz w:val="19"/>
                <w:szCs w:val="19"/>
              </w:rPr>
              <w:t xml:space="preserve"> to matric,</w:t>
            </w:r>
            <w:r>
              <w:rPr>
                <w:rFonts w:ascii="Montserrat" w:eastAsia="Montserrat" w:hAnsi="Montserrat" w:cs="Montserrat"/>
                <w:sz w:val="19"/>
                <w:szCs w:val="19"/>
              </w:rPr>
              <w:t xml:space="preserve"> with 31% of Grade 11 learners dropping out without completing matric. Despite the high drop-out rate, 64% of youth aged 15-24 have completed </w:t>
            </w:r>
            <w:proofErr w:type="gramStart"/>
            <w:r>
              <w:rPr>
                <w:rFonts w:ascii="Montserrat" w:eastAsia="Montserrat" w:hAnsi="Montserrat" w:cs="Montserrat"/>
                <w:sz w:val="19"/>
                <w:szCs w:val="19"/>
              </w:rPr>
              <w:t>matric</w:t>
            </w:r>
            <w:proofErr w:type="gramEnd"/>
            <w:r>
              <w:rPr>
                <w:rFonts w:ascii="Montserrat" w:eastAsia="Montserrat" w:hAnsi="Montserrat" w:cs="Montserrat"/>
                <w:sz w:val="19"/>
                <w:szCs w:val="19"/>
              </w:rPr>
              <w:t xml:space="preserve">, which remains a significant indicator of employment and better wages. </w:t>
            </w:r>
          </w:p>
          <w:p w14:paraId="1E44F7EC" w14:textId="77777777" w:rsidR="00E43062" w:rsidRDefault="00E43062">
            <w:pPr>
              <w:widowControl w:val="0"/>
              <w:pBdr>
                <w:top w:val="nil"/>
                <w:left w:val="nil"/>
                <w:bottom w:val="nil"/>
                <w:right w:val="nil"/>
                <w:between w:val="nil"/>
              </w:pBdr>
              <w:spacing w:line="240" w:lineRule="auto"/>
              <w:rPr>
                <w:rFonts w:ascii="Montserrat" w:eastAsia="Montserrat" w:hAnsi="Montserrat" w:cs="Montserrat"/>
                <w:b/>
                <w:sz w:val="23"/>
                <w:szCs w:val="23"/>
              </w:rPr>
            </w:pPr>
          </w:p>
        </w:tc>
      </w:tr>
      <w:tr w:rsidR="00E43062" w14:paraId="00F3B4F6" w14:textId="77777777">
        <w:trPr>
          <w:trHeight w:val="2220"/>
        </w:trPr>
        <w:tc>
          <w:tcPr>
            <w:tcW w:w="7699" w:type="dxa"/>
            <w:tcBorders>
              <w:top w:val="single" w:sz="8" w:space="0" w:color="999999"/>
              <w:left w:val="single" w:sz="8" w:space="0" w:color="FFFFFF"/>
              <w:right w:val="single" w:sz="8" w:space="0" w:color="FFFFFF"/>
            </w:tcBorders>
            <w:tcMar>
              <w:top w:w="100" w:type="dxa"/>
              <w:left w:w="100" w:type="dxa"/>
              <w:bottom w:w="100" w:type="dxa"/>
              <w:right w:w="100" w:type="dxa"/>
            </w:tcMar>
          </w:tcPr>
          <w:p w14:paraId="15CE6293" w14:textId="77777777" w:rsidR="00E43062" w:rsidRDefault="000F3B3E">
            <w:pPr>
              <w:jc w:val="both"/>
              <w:rPr>
                <w:rFonts w:ascii="Montserrat" w:eastAsia="Montserrat" w:hAnsi="Montserrat" w:cs="Montserrat"/>
                <w:b/>
                <w:sz w:val="23"/>
                <w:szCs w:val="23"/>
              </w:rPr>
            </w:pPr>
            <w:r>
              <w:rPr>
                <w:rFonts w:ascii="Montserrat" w:eastAsia="Montserrat" w:hAnsi="Montserrat" w:cs="Montserrat"/>
                <w:sz w:val="19"/>
                <w:szCs w:val="19"/>
              </w:rPr>
              <w:t xml:space="preserve">Half of the 10.2 million individuals aged 15-24 years in South Africa find themselves not in education, employment, or training (NEET). Despite improved educational attainment over the past decade, they </w:t>
            </w:r>
            <w:proofErr w:type="gramStart"/>
            <w:r>
              <w:rPr>
                <w:rFonts w:ascii="Montserrat" w:eastAsia="Montserrat" w:hAnsi="Montserrat" w:cs="Montserrat"/>
                <w:sz w:val="19"/>
                <w:szCs w:val="19"/>
              </w:rPr>
              <w:t>enter into</w:t>
            </w:r>
            <w:proofErr w:type="gramEnd"/>
            <w:r>
              <w:rPr>
                <w:rFonts w:ascii="Montserrat" w:eastAsia="Montserrat" w:hAnsi="Montserrat" w:cs="Montserrat"/>
                <w:sz w:val="19"/>
                <w:szCs w:val="19"/>
              </w:rPr>
              <w:t xml:space="preserve"> an economy that is not growing fast enough to absorb them and a post-secondary education and training sector that has also not kept pace with the growing number of school leavers. The NEET rate is more pronounced for African youth, females, those in urban areas, and young parents. </w:t>
            </w:r>
          </w:p>
        </w:tc>
        <w:tc>
          <w:tcPr>
            <w:tcW w:w="7699" w:type="dxa"/>
            <w:tcBorders>
              <w:top w:val="single" w:sz="8" w:space="0" w:color="999999"/>
              <w:left w:val="single" w:sz="8" w:space="0" w:color="FFFFFF"/>
              <w:right w:val="single" w:sz="8" w:space="0" w:color="FFFFFF"/>
            </w:tcBorders>
            <w:tcMar>
              <w:top w:w="100" w:type="dxa"/>
              <w:left w:w="100" w:type="dxa"/>
              <w:bottom w:w="100" w:type="dxa"/>
              <w:right w:w="100" w:type="dxa"/>
            </w:tcMar>
          </w:tcPr>
          <w:p w14:paraId="29A870FA"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23"/>
                <w:szCs w:val="23"/>
              </w:rPr>
            </w:pPr>
            <w:r>
              <w:rPr>
                <w:rFonts w:ascii="Montserrat" w:eastAsia="Montserrat" w:hAnsi="Montserrat" w:cs="Montserrat"/>
                <w:b/>
                <w:sz w:val="23"/>
                <w:szCs w:val="23"/>
              </w:rPr>
              <w:t xml:space="preserve">Youth </w:t>
            </w:r>
          </w:p>
          <w:tbl>
            <w:tblPr>
              <w:tblStyle w:val="a2"/>
              <w:tblW w:w="749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9"/>
              <w:gridCol w:w="2500"/>
              <w:gridCol w:w="2500"/>
            </w:tblGrid>
            <w:tr w:rsidR="00E43062" w14:paraId="37239CC3" w14:textId="77777777">
              <w:tc>
                <w:tcPr>
                  <w:tcW w:w="2499" w:type="dxa"/>
                  <w:tcMar>
                    <w:top w:w="100" w:type="dxa"/>
                    <w:left w:w="100" w:type="dxa"/>
                    <w:bottom w:w="100" w:type="dxa"/>
                    <w:right w:w="100" w:type="dxa"/>
                  </w:tcMar>
                </w:tcPr>
                <w:p w14:paraId="3E02FCEA"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20"/>
                      <w:szCs w:val="20"/>
                    </w:rPr>
                  </w:pPr>
                  <w:r>
                    <w:rPr>
                      <w:rFonts w:ascii="Montserrat" w:eastAsia="Montserrat" w:hAnsi="Montserrat" w:cs="Montserrat"/>
                      <w:b/>
                      <w:sz w:val="20"/>
                      <w:szCs w:val="20"/>
                    </w:rPr>
                    <w:t xml:space="preserve">50% of youth Not in Education, Employment or Training (NEET) </w:t>
                  </w:r>
                </w:p>
              </w:tc>
              <w:tc>
                <w:tcPr>
                  <w:tcW w:w="2499" w:type="dxa"/>
                  <w:tcMar>
                    <w:top w:w="100" w:type="dxa"/>
                    <w:left w:w="100" w:type="dxa"/>
                    <w:bottom w:w="100" w:type="dxa"/>
                    <w:right w:w="100" w:type="dxa"/>
                  </w:tcMar>
                </w:tcPr>
                <w:p w14:paraId="13AD6B89" w14:textId="77777777" w:rsidR="00E43062" w:rsidRDefault="000F3B3E">
                  <w:pPr>
                    <w:widowControl w:val="0"/>
                    <w:spacing w:line="240" w:lineRule="auto"/>
                    <w:rPr>
                      <w:rFonts w:ascii="Montserrat" w:eastAsia="Montserrat" w:hAnsi="Montserrat" w:cs="Montserrat"/>
                      <w:b/>
                      <w:sz w:val="20"/>
                      <w:szCs w:val="20"/>
                    </w:rPr>
                  </w:pPr>
                  <w:r>
                    <w:rPr>
                      <w:rFonts w:ascii="Montserrat" w:eastAsia="Montserrat" w:hAnsi="Montserrat" w:cs="Montserrat"/>
                      <w:b/>
                      <w:sz w:val="20"/>
                      <w:szCs w:val="20"/>
                    </w:rPr>
                    <w:t>64% of youth aged 15-24 have completed matric</w:t>
                  </w:r>
                </w:p>
              </w:tc>
              <w:tc>
                <w:tcPr>
                  <w:tcW w:w="2499" w:type="dxa"/>
                  <w:tcMar>
                    <w:top w:w="100" w:type="dxa"/>
                    <w:left w:w="100" w:type="dxa"/>
                    <w:bottom w:w="100" w:type="dxa"/>
                    <w:right w:w="100" w:type="dxa"/>
                  </w:tcMar>
                </w:tcPr>
                <w:p w14:paraId="7F032807" w14:textId="77777777" w:rsidR="00E43062" w:rsidRDefault="000F3B3E">
                  <w:pPr>
                    <w:widowControl w:val="0"/>
                    <w:pBdr>
                      <w:top w:val="nil"/>
                      <w:left w:val="nil"/>
                      <w:bottom w:val="nil"/>
                      <w:right w:val="nil"/>
                      <w:between w:val="nil"/>
                    </w:pBdr>
                    <w:spacing w:line="240" w:lineRule="auto"/>
                    <w:rPr>
                      <w:rFonts w:ascii="Montserrat" w:eastAsia="Montserrat" w:hAnsi="Montserrat" w:cs="Montserrat"/>
                      <w:b/>
                      <w:sz w:val="20"/>
                      <w:szCs w:val="20"/>
                    </w:rPr>
                  </w:pPr>
                  <w:proofErr w:type="spellStart"/>
                  <w:r>
                    <w:rPr>
                      <w:rFonts w:ascii="Montserrat" w:eastAsia="Montserrat" w:hAnsi="Montserrat" w:cs="Montserrat"/>
                      <w:b/>
                      <w:sz w:val="20"/>
                      <w:szCs w:val="20"/>
                    </w:rPr>
                    <w:t>Labour</w:t>
                  </w:r>
                  <w:proofErr w:type="spellEnd"/>
                  <w:r>
                    <w:rPr>
                      <w:rFonts w:ascii="Montserrat" w:eastAsia="Montserrat" w:hAnsi="Montserrat" w:cs="Montserrat"/>
                      <w:b/>
                      <w:sz w:val="20"/>
                      <w:szCs w:val="20"/>
                    </w:rPr>
                    <w:t xml:space="preserve"> market continues to value matric and further education</w:t>
                  </w:r>
                </w:p>
              </w:tc>
            </w:tr>
          </w:tbl>
          <w:p w14:paraId="6C41C75E" w14:textId="77777777" w:rsidR="00E43062" w:rsidRDefault="00E43062">
            <w:pPr>
              <w:widowControl w:val="0"/>
              <w:pBdr>
                <w:top w:val="nil"/>
                <w:left w:val="nil"/>
                <w:bottom w:val="nil"/>
                <w:right w:val="nil"/>
                <w:between w:val="nil"/>
              </w:pBdr>
              <w:spacing w:line="240" w:lineRule="auto"/>
              <w:jc w:val="center"/>
              <w:rPr>
                <w:rFonts w:ascii="Montserrat" w:eastAsia="Montserrat" w:hAnsi="Montserrat" w:cs="Montserrat"/>
                <w:b/>
                <w:sz w:val="23"/>
                <w:szCs w:val="23"/>
              </w:rPr>
            </w:pPr>
          </w:p>
          <w:p w14:paraId="328A5BE2" w14:textId="77777777" w:rsidR="00E43062" w:rsidRDefault="000F3B3E">
            <w:pPr>
              <w:widowControl w:val="0"/>
              <w:pBdr>
                <w:top w:val="nil"/>
                <w:left w:val="nil"/>
                <w:bottom w:val="nil"/>
                <w:right w:val="nil"/>
                <w:between w:val="nil"/>
              </w:pBdr>
              <w:spacing w:line="240" w:lineRule="auto"/>
              <w:jc w:val="center"/>
              <w:rPr>
                <w:rFonts w:ascii="Montserrat" w:eastAsia="Montserrat" w:hAnsi="Montserrat" w:cs="Montserrat"/>
                <w:b/>
                <w:sz w:val="21"/>
                <w:szCs w:val="21"/>
              </w:rPr>
            </w:pPr>
            <w:r>
              <w:rPr>
                <w:rFonts w:ascii="Montserrat" w:eastAsia="Montserrat" w:hAnsi="Montserrat" w:cs="Montserrat"/>
                <w:b/>
                <w:sz w:val="21"/>
                <w:szCs w:val="21"/>
              </w:rPr>
              <w:t>10.2 million youth aged 15-24 in South Africa</w:t>
            </w:r>
          </w:p>
        </w:tc>
      </w:tr>
      <w:tr w:rsidR="00E43062" w14:paraId="4FE76756" w14:textId="77777777">
        <w:trPr>
          <w:trHeight w:val="430"/>
        </w:trPr>
        <w:tc>
          <w:tcPr>
            <w:tcW w:w="15398" w:type="dxa"/>
            <w:gridSpan w:val="2"/>
            <w:tcMar>
              <w:top w:w="100" w:type="dxa"/>
              <w:left w:w="100" w:type="dxa"/>
              <w:bottom w:w="100" w:type="dxa"/>
              <w:right w:w="100" w:type="dxa"/>
            </w:tcMar>
          </w:tcPr>
          <w:p w14:paraId="2071FC43" w14:textId="0978376B" w:rsidR="00E43062" w:rsidRDefault="000F3B3E">
            <w:pPr>
              <w:jc w:val="both"/>
              <w:rPr>
                <w:rFonts w:ascii="Montserrat" w:eastAsia="Montserrat" w:hAnsi="Montserrat" w:cs="Montserrat"/>
                <w:b/>
                <w:sz w:val="23"/>
                <w:szCs w:val="23"/>
              </w:rPr>
            </w:pPr>
            <w:r>
              <w:rPr>
                <w:rFonts w:ascii="Montserrat" w:eastAsia="Montserrat" w:hAnsi="Montserrat" w:cs="Montserrat"/>
                <w:b/>
                <w:sz w:val="19"/>
                <w:szCs w:val="19"/>
              </w:rPr>
              <w:t>After-school</w:t>
            </w:r>
            <w:r>
              <w:rPr>
                <w:rFonts w:ascii="Montserrat" w:eastAsia="Montserrat" w:hAnsi="Montserrat" w:cs="Montserrat"/>
                <w:b/>
                <w:sz w:val="19"/>
                <w:szCs w:val="19"/>
              </w:rPr>
              <w:t xml:space="preserve"> programmes </w:t>
            </w:r>
            <w:r>
              <w:rPr>
                <w:rFonts w:ascii="Montserrat" w:eastAsia="Montserrat" w:hAnsi="Montserrat" w:cs="Montserrat"/>
                <w:sz w:val="19"/>
                <w:szCs w:val="19"/>
              </w:rPr>
              <w:t xml:space="preserve">are in a unique position to address many challenges faced by children and youth in South Africa with supportive programmes that help close foundational learning gaps, foster social and emotional wellbeing, and broaden pathways to future study and work. </w:t>
            </w:r>
            <w:hyperlink r:id="rId5">
              <w:r>
                <w:rPr>
                  <w:rFonts w:ascii="Montserrat" w:eastAsia="Montserrat" w:hAnsi="Montserrat" w:cs="Montserrat"/>
                  <w:color w:val="1155CC"/>
                  <w:sz w:val="19"/>
                  <w:szCs w:val="19"/>
                  <w:u w:val="single"/>
                </w:rPr>
                <w:t>The Learning Trust</w:t>
              </w:r>
            </w:hyperlink>
            <w:r>
              <w:rPr>
                <w:rFonts w:ascii="Montserrat" w:eastAsia="Montserrat" w:hAnsi="Montserrat" w:cs="Montserrat"/>
                <w:sz w:val="19"/>
                <w:szCs w:val="19"/>
              </w:rPr>
              <w:t xml:space="preserve"> (TLT) works to strengthen South Africa’s after-school</w:t>
            </w:r>
            <w:r>
              <w:rPr>
                <w:rFonts w:ascii="Montserrat" w:eastAsia="Montserrat" w:hAnsi="Montserrat" w:cs="Montserrat"/>
                <w:sz w:val="19"/>
                <w:szCs w:val="19"/>
              </w:rPr>
              <w:t xml:space="preserve"> sector — the network of community-based organisations that provide safe, structured learning and enrichment opportunities for children and youth outside of regular school hours.</w:t>
            </w:r>
          </w:p>
        </w:tc>
      </w:tr>
    </w:tbl>
    <w:p w14:paraId="7B744124" w14:textId="77777777" w:rsidR="00E43062" w:rsidRDefault="00E43062"/>
    <w:sectPr w:rsidR="00E43062">
      <w:pgSz w:w="16838" w:h="11906" w:orient="landscape"/>
      <w:pgMar w:top="431" w:right="720" w:bottom="431"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71D4C069-0723-4A46-9726-ECD13845DF93}"/>
    <w:embedBold r:id="rId2" w:fontKey="{97CBE857-592F-483F-8E6D-9C5A9A473BB5}"/>
  </w:font>
  <w:font w:name="Calibri">
    <w:panose1 w:val="020F0502020204030204"/>
    <w:charset w:val="00"/>
    <w:family w:val="swiss"/>
    <w:pitch w:val="variable"/>
    <w:sig w:usb0="E4002EFF" w:usb1="C200247B" w:usb2="00000009" w:usb3="00000000" w:csb0="000001FF" w:csb1="00000000"/>
    <w:embedRegular r:id="rId3" w:fontKey="{8D62D7C7-46B5-433D-9D42-1656549521D4}"/>
  </w:font>
  <w:font w:name="Cambria">
    <w:panose1 w:val="02040503050406030204"/>
    <w:charset w:val="00"/>
    <w:family w:val="roman"/>
    <w:pitch w:val="variable"/>
    <w:sig w:usb0="E00006FF" w:usb1="420024FF" w:usb2="02000000" w:usb3="00000000" w:csb0="0000019F" w:csb1="00000000"/>
    <w:embedRegular r:id="rId4" w:fontKey="{1E5CEE9D-23D1-4A0A-AECF-D90F3CED3B7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062"/>
    <w:rsid w:val="00034AED"/>
    <w:rsid w:val="000F3B3E"/>
    <w:rsid w:val="004823C7"/>
    <w:rsid w:val="008C3BC9"/>
    <w:rsid w:val="00E430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D772E"/>
  <w15:docId w15:val="{7A6A5A94-5F92-4A18-921C-17062A46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Z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thelearningtrust.org" TargetMode="External"/><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6DBD8F69EBAB4EA050AA802392B323" ma:contentTypeVersion="14" ma:contentTypeDescription="Create a new document." ma:contentTypeScope="" ma:versionID="9f00aeb3a9606c84bcaa9207af0e80c2">
  <xsd:schema xmlns:xsd="http://www.w3.org/2001/XMLSchema" xmlns:xs="http://www.w3.org/2001/XMLSchema" xmlns:p="http://schemas.microsoft.com/office/2006/metadata/properties" xmlns:ns2="9bdc58c5-81bb-452b-9305-893cf40c3cc6" xmlns:ns3="c4451c5c-f0ad-444c-8072-5244a553c29b" targetNamespace="http://schemas.microsoft.com/office/2006/metadata/properties" ma:root="true" ma:fieldsID="4712b696c7260f90b8f1ab240e5de706" ns2:_="" ns3:_="">
    <xsd:import namespace="9bdc58c5-81bb-452b-9305-893cf40c3cc6"/>
    <xsd:import namespace="c4451c5c-f0ad-444c-8072-5244a553c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c58c5-81bb-452b-9305-893cf40c3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ba7e402-5d07-4561-b28d-d131b8e5459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451c5c-f0ad-444c-8072-5244a553c29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81233f6-be2d-479f-b230-16fc87bf50f3}" ma:internalName="TaxCatchAll" ma:showField="CatchAllData" ma:web="c4451c5c-f0ad-444c-8072-5244a553c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4451c5c-f0ad-444c-8072-5244a553c29b" xsi:nil="true"/>
    <lcf76f155ced4ddcb4097134ff3c332f xmlns="9bdc58c5-81bb-452b-9305-893cf40c3c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AF4322-FE15-4035-B6A3-C1DC1C3CFC18}"/>
</file>

<file path=customXml/itemProps2.xml><?xml version="1.0" encoding="utf-8"?>
<ds:datastoreItem xmlns:ds="http://schemas.openxmlformats.org/officeDocument/2006/customXml" ds:itemID="{443001E8-788B-4ABA-88A9-8ED810B0F505}"/>
</file>

<file path=customXml/itemProps3.xml><?xml version="1.0" encoding="utf-8"?>
<ds:datastoreItem xmlns:ds="http://schemas.openxmlformats.org/officeDocument/2006/customXml" ds:itemID="{729A9695-363B-438C-AD92-466708493123}"/>
</file>

<file path=docProps/app.xml><?xml version="1.0" encoding="utf-8"?>
<Properties xmlns="http://schemas.openxmlformats.org/officeDocument/2006/extended-properties" xmlns:vt="http://schemas.openxmlformats.org/officeDocument/2006/docPropsVTypes">
  <Template>Normal</Template>
  <TotalTime>2</TotalTime>
  <Pages>1</Pages>
  <Words>487</Words>
  <Characters>2711</Characters>
  <Application>Microsoft Office Word</Application>
  <DocSecurity>0</DocSecurity>
  <Lines>96</Lines>
  <Paragraphs>29</Paragraphs>
  <ScaleCrop>false</ScaleCrop>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Charlene Petersen Voss</dc:creator>
  <cp:lastModifiedBy>Charlene Petersen-Voss</cp:lastModifiedBy>
  <cp:revision>4</cp:revision>
  <dcterms:created xsi:type="dcterms:W3CDTF">2025-09-22T07:12:00Z</dcterms:created>
  <dcterms:modified xsi:type="dcterms:W3CDTF">2025-09-22T07:13:00Z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9ebe813a-25f7-4f65-b574-7f0fabfe1495</vt:lpwstr>
  </property>
  <property fmtid="{D5CDD505-2E9C-101B-9397-08002B2CF9AE}" pid="3" name="ContentTypeId">
    <vt:lpwstr>0x010100D16DBD8F69EBAB4EA050AA802392B323</vt:lpwstr>
  </property>
</Properties>
</file>